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KSK 2020 107 vom 3. März 2021</w:t>
      </w:r>
    </w:p>
    <w:p>
      <w:r>
        <w:t>GR Gerichte, 2021-03-03, DE</w:t>
      </w:r>
    </w:p>
    <w:p>
      <w:r>
        <w:rPr>
          <w:b/>
        </w:rPr>
        <w:t xml:space="preserve">Quelle: </w:t>
      </w:r>
      <w:r>
        <w:t>https://mcp.opencaselaw.ch/entscheid/gr_gerichte_KSK 2020 107</w:t>
      </w:r>
    </w:p>
    <w:p>
      <w:r>
        <w:t>FR: GR_GERICHTE KSK 2020 107 du 3 mars 2021</w:t>
      </w:r>
    </w:p>
    <w:p>
      <w:r>
        <w:t>IT: GR_GERICHTE KSK 2020 107 del 3 marzo 2021</w:t>
      </w:r>
    </w:p>
    <w:p>
      <w:pPr>
        <w:pStyle w:val="Heading2"/>
      </w:pPr>
      <w:r>
        <w:t>Regeste</w:t>
      </w:r>
    </w:p>
    <w:p>
      <w:r>
        <w:t>Rückweisung des Fortsetzungsbegehrens | Aufsicht Beschwerde (SchKG 17 Abs. 1)</w:t>
      </w:r>
    </w:p>
    <w:p>
      <w:pPr>
        <w:pStyle w:val="Heading2"/>
      </w:pPr>
      <w:r>
        <w:t>Erwägungen</w:t>
      </w:r>
    </w:p>
    <w:p>
      <w:r>
        <w:rPr>
          <w:b/>
        </w:rPr>
        <w:t>E. 7</w:t>
      </w:r>
    </w:p>
    <w:p>
      <w:r>
        <w:t>/ 11 2.1.01), die im Zeitpunkt ihres Fortsetzungsbegehrens vom 1. September 2020 nicht mehr in Kraft war. Mit der auf den 1. Dezember 2019 in Kraft getretenen Re- vision der eSchKG-Verordnung war vielmehr bereits die Version 2.2.01 vom Okto- ber 2019 zum verbindlichen eSchKG-Standard erklärt worden (vgl. Art. 5 Abs. 2 lit. b der Verordnung des EJPD über die elektronische Übermittlung im Betreibungs- wesen [SR 281.112.1], [Stand 1. Dezember 2019]). Die technischen und organisa- torischen Vorschriften haben wiederum mit Wirkung ab 1. Oktober 2020 eine Än- derung erfahren ([Version vom September 2020]; vgl. Art. 5 Abs. 2 lit. b der Ver- ordnung des EJPD über die elektronische Übermittlung im Betreibungswesen [Stand 1. Oktober 2020]). Entgegen der vom Betreibungsamt der Region Plessur vertretenen Meinung führt dies nun aber nicht ohne Weiteres dazu, dass diese Handbücher unbeachtlich wären. In Art. 9 Abs. 2 der Übergangsbestimmungen zur Änderung vom 23. Oktober 2019 (wie auch in jenen zur Änderung vom 27. August 2020) werden die Betreibungsämter verpflichtet, für eine Übergangszeit (bis zum 31. Dezember 2022 respektive 30. Juni 2023) von bereits bisher in den eSchKG-Verbund aufgenommenen Personen Eingaben gemäss eSchKG- Standard 2.1.01 zu verarbeiten und zu beantworten. Gemäss eSchKG- Teilnehmerverzeichnis (abrufbar unter https://www.eschkg.ch/?page_id=858) ist die Beschwerdeführerin seit dem _____ 2018 Teilnehmerin des Verbundes. Die Handbücher mit den zum genannten Standard erlassenen Erläuterungen und Empfehlungen werden in den betreffenden Übergangsbestimmungen nicht explizit erwähnt. Dennoch sind sie für die gemäss bisherigem Standard eingereichten Eingaben immer noch beachtlich, weil gemäss Art. 5 Abs. 3 der früheren Verord- nungsversion (Stand 1. Januar 2018) die Handbücher als Empfehlungen und Er- läuterungen Bestandteil des eSchKG-Standards bildeten und als solcher vom in der erwähnten Übergangsbestimmung enthaltenen (allgemeinen) Verweis auf den "eSchKG-Standard 2.1.01" automatisch mitumfasst werden. Dass die Hand- bücher, die weiterhin auf der einschlägigen Website (eschkg.ch) abrufbar sind, in der Übergangsbestimmung von Art. 9 Abs. 2 lit. a und b der Verordnung des EJPD über die elektronische Übermittlung im Betreibungswesen (Stand 1. Dezember 2019) nicht aufgezählt werden, erweist sich vor diesem Hintergrund mehr als re- daktionelle Ungenauigkeit, denn als vom Verordnungsgeber wirklich gewollt. 6.2. Konsultiert man die betreffenden Handbücher, wird deutlich, dass zumin- dest das "Green Book" nicht bloss Empfehlungen, sondern explizit auch zwingen- de Vorgaben und Regeln enthält (vgl. dazu die einleitenden Hinweise im "White Book", S. 3, sowie im "Green Book", S. 6).</w:t>
      </w:r>
    </w:p>
    <w:p>
      <w:r>
        <w:rPr>
          <w:b/>
        </w:rPr>
        <w:t>E. 8</w:t>
      </w:r>
    </w:p>
    <w:p>
      <w:r>
        <w:t>/ 11 6.3. Angesichts dieser Ausgangslage besteht kein Zweifel, dass ein Betrei- bungsamt grundsätzlich auch gestützt auf einen elektronisch eingereichten Zah- lungsbefehl die Fortsetzung der Betreibung zu gewähren hat, wenn das Fortset- zungsbegehren samt Beilagen via eSchKG-Verbund eingereicht wird. Die gesetz- lichen Grundlagen hierfür finden sich im Übrigen unmittelbar in Art. 33a SchKG und der gestützt darauf erlassenen VeÜ-ZSSV, die in Art. 14 ihrerseits die Verord- nungskompetenz des EJPD zur Regelung der technischen und organisatorischen Vorgaben sowie des Datenformats für den eSchKG-Verbund (d.h. für den struktu- rierten elektronischen Versand von Daten mittels eSchKG-Standard zwischen den dem Verbund angeschlossenen Teilnehmern) enthält (vgl. zur analogen Verpflich- tung der Betreibungsämter in Bezug auf Einzeleingaben auch die Information Nr. 20 der Dienststelle für Oberaufsicht SchKG des Bundesamtes für Justiz vom 15. November 2019). Dass dies ebenfalls bei Einleitung der Betreibung an einem anderen Ort gelten muss, zeigt sich darin, dass unter anderem für diesen Fall ein spezieller Eingabemodus ("CC novel") zur Verfügung steht (vgl. "Green Book", S. 30, Ziff. 3.7.13). Erhält ein Betreibungsamt auf diesem Weg ein von einem ande- ren Betreibungsamt ausgestelltes und elektronisch signiertes Doppel des Zah- lungsbefehls (als PDF-Datei), darf es das Begehren nicht mit der Begründung zurückweisen, die Beilage sei ungenügend (vgl. "Green Book", S. 26, Ziff. 3.7.2 und S. 43, Ziff. 4.2.2 ["Das Doppel des Zahlungsbefehls und der Betreibungs- auszug eines anderen Betreibungsamtes sind beglaubigte Abschriften des Origi- nals, sofern digital signiert. Diese beiden Dokumente MÜSSEN vom Betreibungs- amt grundsätzlich akzeptiert werden".]). Soweit das Betreibungsamt Plessur die Bearbeitung von Fortsetzungsbegehren mit elektronisch angefügtem und digital signiertem Zahlungsbefehl generell ablehnt und eine Nachreichung des Zahlungs- befehls im Original (Papier) verlangt, geht es folglich fehl. 6.4. Zu prüfen bleibt indessen noch, welchen inhaltlichen Anforderungen der digital eingereichte Zahlungsbefehl zu genügen hat, um das Betreibungsamt zur Bearbeitung des Fortsetzungsbegehrens zu verpflichten. Da sowohl die VeÜ- ZSSV als auch die Verordnung des EJPD über die elektronische Übermittlung im Betreibungswesen (eSchKG-Verordnung) nur die Form der Eingaben (samt allfäl- liger Beilagen) regelt, müsste grundsätzlich auch ein elektronisch übermittelter Zahlungsbefehl den formellen Vorgaben von Art. 76 Abs. 1 SchKG entsprechen. Demnach müsste auch das Unterbleiben eines Rechtsvorschlages explizit auf dem Zahlungsbefehl vorgemerkt sein. Dies war beim von der Beschwerdeführerin mit ihrem Fortsetzungsbegehren übermittelten elektronischen Zahlungsbefehl un- bestrittenermassen nicht der Fall (vgl. act. B.3). Das Fehlen der Vormerkung scheint indessen systembedingt zu sein, da die Betreibungsämter im bisherigen</w:t>
      </w:r>
    </w:p>
    <w:p>
      <w:r>
        <w:rPr>
          <w:b/>
        </w:rPr>
        <w:t>E. 9</w:t>
      </w:r>
    </w:p>
    <w:p>
      <w:r>
        <w:t>/ 11 eSchKG-Standard (Version 2.1.01) – anders als bei der Version 2.2.01 (vgl. dazu S. 18 der aktuellen technischen und organisatorischen Vorschriften für den elek- tronischen Datenaustausch im Betreibungswesen) – Angaben zum Rechtsvor- schlag nur dann in die Mitteilung an den Gläubiger ("SC Message") aufzunehmen hatten, wenn tatsächlich ein Rechtsvorschlag erfolgt war (vgl. "Blue Book Appen- dix", S. 14 f.). Bei Ausbleiben eines Rechtsvorschlages hat die entsprechende Vormerkung im von der Betreibungssoftware automatisch beigelegten elektroni- schen Zahlungsbefehl daher regelmässig gefehlt. Liegt das Fehlen der Vormer- kung im elektronisch erhaltenen Zahlungsbefehl aber in den technischen Vorga- ben begründet, kann dies dem um Fortsetzung ersuchenden Gläubiger grundsätz- lich nicht entgegengehalten werden. Ein solches Vorgehen wäre kaum mit dem auch im Zwangsvollstreckungsrecht beachtlichen Grundsatz von Treu und Glau- ben gemäss Art. 2 Abs. 1 ZGB vereinbar (vgl. BGE 108 III 119 E. 2). Darüber hin- aus erscheint eine Rückweisung des Fortsetzungsbegehrens mit der entspre- chenden Begründung im vorliegenden Fall umso weniger gerechtfertigt, als in ca- su die Rechtsvorschlagsfrist gemäss Art. 74 Abs. 1 SchKG zum Zeitpunkt der elektronischen Signierung des Gläubigerdoppels durch das Betreibungsamt der Region Landquart (25. Mai 2020) offensichtlich abgelaufen war (Zustellung des Zahlungsbefehls an die Schuldnerin erfolgte am 7. Mai 2020; vgl. act. B. 3, S. 2). Dieser Umstand und die weitere Tatsache, dass das mit dem elektronischen Fortsetzungsbegehren übermittelte Dokument mit dem Titel "Zahlungsbefehl ohne RV" (vgl. act. B.2, S. 3; &lt;documentTitle&gt;Zahlungsbefehl ohne RV&lt;/documentTitle&gt;) versehen war, belegen nämlich, dass der Zahlungsbefehl zum Zeitpunkt des Fortsetzungsbegehrens rechtskräftig war. 7. Vor dem Hintergrund des Gesagten ist analog des Entscheides des Be- zirksgerichts Lenzburg vom 27. August 2018 (vgl. Philipp Annen, BlSchK 2019, S. 99) die Beschwerde gutzuheissen und die angefochtene Rückweisungsverfü- gung aufzuheben. Das Betreibungsamt der Region Plessur wird angewiesen, auf- grund des eingereichten Fortsetzungsbegehrens die Betreibung gemäss Gesetz weiterzuführen. 8. Mit vorliegendem Beschwerdeentscheid wird im Ergebnis auch über den Feststellungsantrag, des Betreibungsamtes der Region Plessur entschieden (vgl. act. A.2, S. 4). Darauf ist nicht gesondert einzugehen, zumal das Betreibungsamt (als verfügende Behörde) ohnehin weder über ein rechtlich schützenswertes Inter- esse noch die notwendige Aktivlegitimation für dessen Stellung besitzt (vgl. zum Ganzen Franco Lorandi, Betreibungsrechtliche Beschwerde und Nichtigkeit,</w:t>
      </w:r>
    </w:p>
    <w:p>
      <w:r>
        <w:rPr>
          <w:b/>
        </w:rPr>
        <w:t>E. 9.1</w:t>
      </w:r>
    </w:p>
    <w:p>
      <w:r>
        <w:t>Gemäss Art. 20a Abs. 2 Ziff. 5 Satz 1 SchKG und Art. 61 Abs. 2 lit. a GebV SchKG ist das Beschwerdeverfahren vor der kantonalen Aufsichtsbehörde kosten- los. Die – rein intern zu verbuchenden – Verfahrenskosten von CHF 1'000.00 ver- bleiben demnach beim Kanton.</w:t>
      </w:r>
    </w:p>
    <w:p>
      <w:r>
        <w:rPr>
          <w:b/>
        </w:rPr>
        <w:t>E. 9.2</w:t>
      </w:r>
    </w:p>
    <w:p>
      <w:r>
        <w:t>Im Beschwerdeverfahren nach den Artikeln 17 bis 19 des SchKG darf keine Parteienschädigung zugesprochen werden (Art. 62 Abs. 2 GebV SchKG).</w:t>
      </w:r>
    </w:p>
    <w:p>
      <w:r>
        <w:rPr>
          <w:b/>
        </w:rPr>
        <w:t>E. 10</w:t>
      </w:r>
    </w:p>
    <w:p>
      <w:r>
        <w:t>/ 11 Kommentar zu den Artikeln 13-30 SchKG, Basel 2002, N 167 ff. zu Art. 17 SchKG).</w:t>
      </w:r>
    </w:p>
    <w:p>
      <w:r>
        <w:rPr>
          <w:b/>
        </w:rPr>
        <w:t>E. 11</w:t>
      </w:r>
    </w:p>
    <w:p>
      <w:r>
        <w:t>/ 11 III.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